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763E" w14:textId="5E368111" w:rsidR="00852B6A" w:rsidRDefault="002973AE" w:rsidP="00852B6A">
      <w:r>
        <w:rPr>
          <w:rStyle w:val="Strong"/>
          <w:b w:val="0"/>
          <w:bCs w:val="0"/>
        </w:rPr>
        <w:t>The bill includes significant</w:t>
      </w:r>
      <w:r w:rsidR="00852B6A">
        <w:rPr>
          <w:rStyle w:val="Strong"/>
          <w:b w:val="0"/>
          <w:bCs w:val="0"/>
        </w:rPr>
        <w:t xml:space="preserve"> funding for HUD programs. These funds generally address the needs of sheltered and unsheltered people experiencing homelessness</w:t>
      </w:r>
      <w:r w:rsidR="00EA71DE">
        <w:rPr>
          <w:rStyle w:val="Strong"/>
          <w:b w:val="0"/>
          <w:bCs w:val="0"/>
        </w:rPr>
        <w:t>,</w:t>
      </w:r>
      <w:r w:rsidR="00852B6A">
        <w:rPr>
          <w:rStyle w:val="Strong"/>
          <w:b w:val="0"/>
          <w:bCs w:val="0"/>
        </w:rPr>
        <w:t xml:space="preserve"> including those who </w:t>
      </w:r>
      <w:r w:rsidR="009C1E20">
        <w:rPr>
          <w:rStyle w:val="Strong"/>
          <w:b w:val="0"/>
          <w:bCs w:val="0"/>
        </w:rPr>
        <w:t>have been infected</w:t>
      </w:r>
      <w:r w:rsidR="007C5F06">
        <w:t>;</w:t>
      </w:r>
      <w:r w:rsidR="00852B6A">
        <w:t xml:space="preserve"> provide funds for existing housing programs for any additional COVID</w:t>
      </w:r>
      <w:r w:rsidR="00EA71DE">
        <w:t>-</w:t>
      </w:r>
      <w:r w:rsidR="00852B6A">
        <w:t>19 related</w:t>
      </w:r>
      <w:r w:rsidR="009C1E20">
        <w:t xml:space="preserve"> needs/</w:t>
      </w:r>
      <w:r w:rsidR="00852B6A">
        <w:t xml:space="preserve">costs and to make-up for funds lost </w:t>
      </w:r>
      <w:r w:rsidR="007C5F06">
        <w:t>dues to tenant changes in income;</w:t>
      </w:r>
      <w:r w:rsidR="00852B6A">
        <w:t xml:space="preserve"> and protect some homeowner</w:t>
      </w:r>
      <w:r w:rsidR="007C5F06">
        <w:t>s</w:t>
      </w:r>
      <w:r w:rsidR="00852B6A">
        <w:t xml:space="preserve"> from immediate foreclosure and tenants from immediate eviction. The specific allocations include: </w:t>
      </w:r>
    </w:p>
    <w:p w14:paraId="0A820D75" w14:textId="05AD91AD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$4 billion for Emergency Solutions Gra</w:t>
      </w:r>
      <w:r w:rsidR="007C5F06">
        <w:rPr>
          <w:rFonts w:eastAsia="Times New Roman"/>
        </w:rPr>
        <w:t xml:space="preserve">nts </w:t>
      </w:r>
      <w:r w:rsidR="00BF7EF5">
        <w:rPr>
          <w:rFonts w:eastAsia="Times New Roman"/>
        </w:rPr>
        <w:t xml:space="preserve">(ESG) </w:t>
      </w:r>
      <w:r w:rsidR="007C5F06">
        <w:rPr>
          <w:rFonts w:eastAsia="Times New Roman"/>
        </w:rPr>
        <w:t>for homelessness assistance</w:t>
      </w:r>
      <w:r>
        <w:rPr>
          <w:rFonts w:eastAsia="Times New Roman"/>
        </w:rPr>
        <w:t xml:space="preserve"> </w:t>
      </w:r>
    </w:p>
    <w:p w14:paraId="6EBA3F16" w14:textId="23F4CFE8" w:rsidR="00BF7EF5" w:rsidRPr="00BF7EF5" w:rsidRDefault="00BF7EF5" w:rsidP="00BF7EF5">
      <w:pPr>
        <w:pStyle w:val="ListParagraph"/>
        <w:numPr>
          <w:ilvl w:val="1"/>
          <w:numId w:val="1"/>
        </w:numPr>
      </w:pPr>
      <w:r>
        <w:t>The local match requirement on ESG is waived and that the funds can be used for motel vouchers for homeless individuals that need to self-isolate or quarantine.</w:t>
      </w:r>
    </w:p>
    <w:p w14:paraId="05EE5FEE" w14:textId="77777777" w:rsidR="007C5F06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$5 billion in Community Development Block Grants</w:t>
      </w:r>
    </w:p>
    <w:p w14:paraId="240D682A" w14:textId="1F9599AE" w:rsidR="007C5F06" w:rsidRDefault="007C5F06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 P</w:t>
      </w:r>
      <w:r w:rsidR="00852B6A">
        <w:rPr>
          <w:rFonts w:eastAsia="Times New Roman"/>
        </w:rPr>
        <w:t xml:space="preserve">ublic service caps are waived for </w:t>
      </w:r>
      <w:r w:rsidR="00EA71DE">
        <w:t>FY19 and FY20 monies</w:t>
      </w:r>
      <w:r w:rsidR="00852B6A">
        <w:rPr>
          <w:rFonts w:eastAsia="Times New Roman"/>
        </w:rPr>
        <w:t xml:space="preserve"> and new funding </w:t>
      </w:r>
    </w:p>
    <w:p w14:paraId="3A4AE851" w14:textId="13D2F88B" w:rsidR="00852B6A" w:rsidRDefault="00852B6A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Congress also provided an additional $150 billion in a Coronavirus Relief Fund that can cover</w:t>
      </w:r>
      <w:r w:rsidR="007C5F06">
        <w:rPr>
          <w:rFonts w:eastAsia="Times New Roman"/>
        </w:rPr>
        <w:t xml:space="preserve"> many of the same uses as CDBG</w:t>
      </w:r>
    </w:p>
    <w:p w14:paraId="66BF48B6" w14:textId="3A0A9671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$1.25 billion for the Housing Choice Voucher program </w:t>
      </w:r>
    </w:p>
    <w:p w14:paraId="53554D6D" w14:textId="4A5E3D29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$850 million for both administrative expenses and other expenses of public housing agencies for their section 8 programs, including Mainstream vouchers</w:t>
      </w:r>
    </w:p>
    <w:p w14:paraId="0A882A3D" w14:textId="72D6EB37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$400 million for adjustments in the calendar year 2020 section 8 renewal funding allocations, including Mainstream vouchers, for public housing agencies that experience a significant increase in voucher per-unit costs due to extraordinary circumstances or that, despite taking reasonable cost savings measures, as determined by the Secretary, would otherwise be required to terminate rental assistance for families as a result of insufficient funding</w:t>
      </w:r>
    </w:p>
    <w:p w14:paraId="24C91F42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$1 billion for Project-Based Rental Assistance</w:t>
      </w:r>
    </w:p>
    <w:p w14:paraId="52C0EA30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$15 million for Section 811 Housing for Persons with Disabilities </w:t>
      </w:r>
    </w:p>
    <w:p w14:paraId="4DE50AA7" w14:textId="4931DB8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$50 million </w:t>
      </w:r>
      <w:r w:rsidR="007C5F06">
        <w:rPr>
          <w:rFonts w:eastAsia="Times New Roman"/>
        </w:rPr>
        <w:t xml:space="preserve">for Section 202 </w:t>
      </w:r>
      <w:r>
        <w:rPr>
          <w:rFonts w:eastAsia="Times New Roman"/>
        </w:rPr>
        <w:t>‘H</w:t>
      </w:r>
      <w:r w:rsidR="007C5F06">
        <w:rPr>
          <w:rFonts w:eastAsia="Times New Roman"/>
        </w:rPr>
        <w:t>ousing for the Elderly’</w:t>
      </w:r>
    </w:p>
    <w:p w14:paraId="66D692FD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$65 million for Housing Opportunities for Persons with AIDS (HOPWA) program</w:t>
      </w:r>
    </w:p>
    <w:p w14:paraId="50D1EA72" w14:textId="77777777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$2.5 million for fair housing</w:t>
      </w:r>
    </w:p>
    <w:p w14:paraId="201BFEE4" w14:textId="289062E1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$685 million for Public Housing Operating Fund</w:t>
      </w:r>
    </w:p>
    <w:p w14:paraId="6D0E44BF" w14:textId="77777777" w:rsidR="00852B6A" w:rsidRPr="001C5368" w:rsidRDefault="00852B6A" w:rsidP="001C5368">
      <w:pPr>
        <w:rPr>
          <w:sz w:val="16"/>
          <w:szCs w:val="16"/>
          <w:shd w:val="clear" w:color="auto" w:fill="FFFFFF"/>
        </w:rPr>
      </w:pPr>
    </w:p>
    <w:p w14:paraId="296453E9" w14:textId="3968ECB0" w:rsidR="00852B6A" w:rsidRDefault="00920C32" w:rsidP="001C5368">
      <w:pPr>
        <w:rPr>
          <w:rFonts w:eastAsia="Times New Roman"/>
        </w:rPr>
      </w:pPr>
      <w:r>
        <w:rPr>
          <w:rFonts w:eastAsia="Times New Roman"/>
          <w:color w:val="363636"/>
          <w:shd w:val="clear" w:color="auto" w:fill="FFFFFF"/>
        </w:rPr>
        <w:t xml:space="preserve">Eviction and Foreclosures: </w:t>
      </w:r>
      <w:r w:rsidR="007969B1">
        <w:rPr>
          <w:rFonts w:eastAsia="Times New Roman"/>
        </w:rPr>
        <w:t>There’s a broad moratorium on eviction for tenants with subsidized rent (including t</w:t>
      </w:r>
      <w:r w:rsidR="007969B1" w:rsidRPr="007969B1">
        <w:rPr>
          <w:rFonts w:eastAsia="Times New Roman"/>
        </w:rPr>
        <w:t>he Low-Income Housing Tax Credit</w:t>
      </w:r>
      <w:r w:rsidR="007969B1">
        <w:rPr>
          <w:rFonts w:eastAsia="Times New Roman"/>
        </w:rPr>
        <w:t xml:space="preserve">). </w:t>
      </w:r>
      <w:r w:rsidR="00852B6A">
        <w:rPr>
          <w:rFonts w:eastAsia="Times New Roman"/>
          <w:color w:val="363636"/>
          <w:shd w:val="clear" w:color="auto" w:fill="FFFFFF"/>
        </w:rPr>
        <w:t>The bill includes time-limited foreclosure protection for</w:t>
      </w:r>
      <w:r w:rsidR="00852B6A">
        <w:rPr>
          <w:rFonts w:eastAsia="Times New Roman"/>
          <w:color w:val="000000"/>
          <w:shd w:val="clear" w:color="auto" w:fill="FFFFFF"/>
        </w:rPr>
        <w:t xml:space="preserve"> homeowners with</w:t>
      </w:r>
      <w:r w:rsidR="00852B6A">
        <w:rPr>
          <w:rFonts w:eastAsia="Times New Roman"/>
          <w:color w:val="363636"/>
          <w:shd w:val="clear" w:color="auto" w:fill="FFFFFF"/>
        </w:rPr>
        <w:t xml:space="preserve"> </w:t>
      </w:r>
      <w:proofErr w:type="gramStart"/>
      <w:r w:rsidR="00852B6A">
        <w:rPr>
          <w:rFonts w:eastAsia="Times New Roman"/>
          <w:color w:val="363636"/>
          <w:shd w:val="clear" w:color="auto" w:fill="FFFFFF"/>
        </w:rPr>
        <w:t>federally-backed</w:t>
      </w:r>
      <w:proofErr w:type="gramEnd"/>
      <w:r w:rsidR="00852B6A">
        <w:rPr>
          <w:rFonts w:eastAsia="Times New Roman"/>
          <w:color w:val="363636"/>
          <w:shd w:val="clear" w:color="auto" w:fill="FFFFFF"/>
        </w:rPr>
        <w:t xml:space="preserve"> mortgages</w:t>
      </w:r>
      <w:r w:rsidR="00852B6A">
        <w:rPr>
          <w:rFonts w:eastAsia="Times New Roman"/>
        </w:rPr>
        <w:t>. (</w:t>
      </w:r>
      <w:r w:rsidR="007C5F06">
        <w:rPr>
          <w:rFonts w:eastAsia="Times New Roman"/>
        </w:rPr>
        <w:t xml:space="preserve">Note: </w:t>
      </w:r>
      <w:r w:rsidR="00852B6A">
        <w:rPr>
          <w:rFonts w:eastAsia="Times New Roman"/>
        </w:rPr>
        <w:t xml:space="preserve">It’s broad, and covers most, including </w:t>
      </w:r>
      <w:r w:rsidR="005B45A2">
        <w:rPr>
          <w:rFonts w:eastAsia="Times New Roman"/>
        </w:rPr>
        <w:t xml:space="preserve">mortgages backed by the </w:t>
      </w:r>
      <w:r w:rsidR="005B45A2" w:rsidRPr="005B45A2">
        <w:rPr>
          <w:rFonts w:eastAsia="Times New Roman"/>
        </w:rPr>
        <w:t>Federal Housing Administration</w:t>
      </w:r>
      <w:r w:rsidR="00852B6A">
        <w:rPr>
          <w:rFonts w:eastAsia="Times New Roman"/>
        </w:rPr>
        <w:t>, Fannie Mae, Freddie MAC, the VA &amp; USDA</w:t>
      </w:r>
      <w:r w:rsidR="00EA71DE">
        <w:rPr>
          <w:rFonts w:eastAsia="Times New Roman"/>
        </w:rPr>
        <w:t>.</w:t>
      </w:r>
      <w:r w:rsidR="00852B6A">
        <w:rPr>
          <w:rFonts w:eastAsia="Times New Roman"/>
        </w:rPr>
        <w:t>)</w:t>
      </w:r>
      <w:r>
        <w:rPr>
          <w:rFonts w:eastAsia="Times New Roman"/>
        </w:rPr>
        <w:t xml:space="preserve"> I</w:t>
      </w:r>
      <w:r w:rsidR="00852B6A">
        <w:rPr>
          <w:rFonts w:eastAsia="Times New Roman"/>
        </w:rPr>
        <w:t>f owners request forbearance</w:t>
      </w:r>
      <w:r w:rsidR="00EA71DE">
        <w:rPr>
          <w:rFonts w:eastAsia="Times New Roman"/>
        </w:rPr>
        <w:t xml:space="preserve"> (for</w:t>
      </w:r>
      <w:r w:rsidR="00EA71DE" w:rsidRPr="00EA71DE">
        <w:rPr>
          <w:rFonts w:eastAsia="Times New Roman"/>
        </w:rPr>
        <w:t xml:space="preserve"> a reduced or suspended mortgage payment</w:t>
      </w:r>
      <w:r w:rsidR="00EA71DE">
        <w:rPr>
          <w:rFonts w:eastAsia="Times New Roman"/>
        </w:rPr>
        <w:t>)</w:t>
      </w:r>
      <w:r w:rsidR="00852B6A">
        <w:rPr>
          <w:rFonts w:eastAsia="Times New Roman"/>
        </w:rPr>
        <w:t xml:space="preserve">, they </w:t>
      </w:r>
      <w:r w:rsidR="009C1E20">
        <w:rPr>
          <w:rFonts w:eastAsia="Times New Roman"/>
        </w:rPr>
        <w:t xml:space="preserve">must </w:t>
      </w:r>
      <w:r w:rsidR="00852B6A">
        <w:rPr>
          <w:rFonts w:eastAsia="Times New Roman"/>
        </w:rPr>
        <w:t>commit to not evicting tenants</w:t>
      </w:r>
      <w:r w:rsidR="00EA71DE">
        <w:rPr>
          <w:rFonts w:eastAsia="Times New Roman"/>
        </w:rPr>
        <w:t xml:space="preserve">.  This applies to both multifamily and </w:t>
      </w:r>
      <w:proofErr w:type="gramStart"/>
      <w:r w:rsidR="00EA71DE">
        <w:rPr>
          <w:rFonts w:eastAsia="Times New Roman"/>
        </w:rPr>
        <w:t>single family</w:t>
      </w:r>
      <w:proofErr w:type="gramEnd"/>
      <w:r w:rsidR="00EA71DE">
        <w:rPr>
          <w:rFonts w:eastAsia="Times New Roman"/>
        </w:rPr>
        <w:t xml:space="preserve"> units.</w:t>
      </w:r>
      <w:r>
        <w:rPr>
          <w:rFonts w:eastAsia="Times New Roman"/>
        </w:rPr>
        <w:t xml:space="preserve"> </w:t>
      </w:r>
    </w:p>
    <w:p w14:paraId="18604D0D" w14:textId="77777777" w:rsidR="001C5368" w:rsidRPr="001C5368" w:rsidRDefault="001C5368" w:rsidP="001C5368">
      <w:pPr>
        <w:rPr>
          <w:color w:val="606060"/>
          <w:sz w:val="16"/>
          <w:szCs w:val="16"/>
        </w:rPr>
      </w:pPr>
    </w:p>
    <w:p w14:paraId="3A6CAA49" w14:textId="77777777" w:rsidR="00852B6A" w:rsidRDefault="00852B6A" w:rsidP="001C5368">
      <w:pPr>
        <w:rPr>
          <w:color w:val="363636"/>
          <w:shd w:val="clear" w:color="auto" w:fill="FFFFFF"/>
        </w:rPr>
      </w:pPr>
      <w:r>
        <w:rPr>
          <w:color w:val="363636"/>
          <w:shd w:val="clear" w:color="auto" w:fill="FFFFFF"/>
        </w:rPr>
        <w:t xml:space="preserve">What the current COVID bill does </w:t>
      </w:r>
      <w:r w:rsidRPr="001F1945">
        <w:rPr>
          <w:color w:val="363636"/>
          <w:u w:val="single"/>
          <w:shd w:val="clear" w:color="auto" w:fill="FFFFFF"/>
        </w:rPr>
        <w:t>not</w:t>
      </w:r>
      <w:r>
        <w:rPr>
          <w:color w:val="363636"/>
          <w:shd w:val="clear" w:color="auto" w:fill="FFFFFF"/>
        </w:rPr>
        <w:t xml:space="preserve"> do: </w:t>
      </w:r>
    </w:p>
    <w:p w14:paraId="75CD938C" w14:textId="446CF05F" w:rsidR="00852B6A" w:rsidRDefault="003D2A2E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 xml:space="preserve">Provide </w:t>
      </w:r>
      <w:r w:rsidR="00852B6A">
        <w:rPr>
          <w:rFonts w:eastAsia="Times New Roman"/>
          <w:color w:val="363636"/>
          <w:shd w:val="clear" w:color="auto" w:fill="FFFFFF"/>
        </w:rPr>
        <w:t xml:space="preserve">a blanket moratorium on all residential evictions and foreclosures. Some renters and homeowners are not still protected unless there’s a moratorium at state or local level. </w:t>
      </w:r>
    </w:p>
    <w:p w14:paraId="6AA26AAD" w14:textId="370EEB0D" w:rsidR="00852B6A" w:rsidRDefault="00852B6A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 xml:space="preserve">While the bill allows waiver of many administrative processes, this is not automatic, </w:t>
      </w:r>
      <w:proofErr w:type="gramStart"/>
      <w:r>
        <w:rPr>
          <w:rFonts w:eastAsia="Times New Roman"/>
          <w:color w:val="363636"/>
          <w:shd w:val="clear" w:color="auto" w:fill="FFFFFF"/>
        </w:rPr>
        <w:t>and  we</w:t>
      </w:r>
      <w:proofErr w:type="gramEnd"/>
      <w:r>
        <w:rPr>
          <w:rFonts w:eastAsia="Times New Roman"/>
          <w:color w:val="363636"/>
          <w:shd w:val="clear" w:color="auto" w:fill="FFFFFF"/>
        </w:rPr>
        <w:t xml:space="preserve"> don’t know</w:t>
      </w:r>
      <w:r w:rsidR="003D2A2E">
        <w:rPr>
          <w:rFonts w:eastAsia="Times New Roman"/>
          <w:color w:val="363636"/>
          <w:shd w:val="clear" w:color="auto" w:fill="FFFFFF"/>
        </w:rPr>
        <w:t xml:space="preserve"> what will be waived</w:t>
      </w:r>
      <w:r>
        <w:rPr>
          <w:rFonts w:eastAsia="Times New Roman"/>
          <w:color w:val="363636"/>
          <w:shd w:val="clear" w:color="auto" w:fill="FFFFFF"/>
        </w:rPr>
        <w:t xml:space="preserve">. For example, tenants in HUD programs must currently still go through the administrative process regarding a change in income. </w:t>
      </w:r>
      <w:r w:rsidR="00920C32">
        <w:rPr>
          <w:rFonts w:eastAsia="Times New Roman"/>
          <w:color w:val="363636"/>
          <w:shd w:val="clear" w:color="auto" w:fill="FFFFFF"/>
        </w:rPr>
        <w:t xml:space="preserve"> </w:t>
      </w:r>
    </w:p>
    <w:p w14:paraId="73E362C2" w14:textId="77777777" w:rsidR="00852B6A" w:rsidRPr="001C5368" w:rsidRDefault="00852B6A" w:rsidP="001C5368">
      <w:pPr>
        <w:rPr>
          <w:sz w:val="16"/>
          <w:szCs w:val="16"/>
        </w:rPr>
      </w:pPr>
    </w:p>
    <w:p w14:paraId="22F0B8EA" w14:textId="77777777" w:rsidR="001C5368" w:rsidRDefault="001C5368" w:rsidP="001C5368">
      <w:pPr>
        <w:rPr>
          <w:color w:val="606060"/>
        </w:rPr>
      </w:pPr>
      <w:r>
        <w:t>National Low-Income Housing Coalition (NLIHC)</w:t>
      </w:r>
      <w:r>
        <w:rPr>
          <w:color w:val="606060"/>
        </w:rPr>
        <w:t xml:space="preserve"> </w:t>
      </w:r>
      <w:hyperlink r:id="rId7" w:tgtFrame="_blank" w:history="1">
        <w:r>
          <w:rPr>
            <w:rStyle w:val="Hyperlink"/>
            <w:color w:val="004A97"/>
          </w:rPr>
          <w:t>full analysis</w:t>
        </w:r>
      </w:hyperlink>
      <w:r>
        <w:rPr>
          <w:color w:val="606060"/>
        </w:rPr>
        <w:t xml:space="preserve"> and </w:t>
      </w:r>
      <w:hyperlink r:id="rId8" w:tgtFrame="_blank" w:history="1">
        <w:r>
          <w:rPr>
            <w:rStyle w:val="Hyperlink"/>
            <w:color w:val="004A97"/>
          </w:rPr>
          <w:t>chart</w:t>
        </w:r>
      </w:hyperlink>
      <w:r>
        <w:rPr>
          <w:color w:val="606060"/>
        </w:rPr>
        <w:t>.</w:t>
      </w:r>
    </w:p>
    <w:p w14:paraId="7550AC9A" w14:textId="527F2119" w:rsidR="00852B6A" w:rsidRDefault="00852B6A" w:rsidP="001C5368">
      <w:pPr>
        <w:rPr>
          <w:color w:val="070707"/>
        </w:rPr>
      </w:pPr>
      <w:r>
        <w:rPr>
          <w:color w:val="070707"/>
        </w:rPr>
        <w:t xml:space="preserve">Resources from </w:t>
      </w:r>
      <w:r w:rsidR="001F1945">
        <w:rPr>
          <w:color w:val="070707"/>
        </w:rPr>
        <w:t>The National Housing Law Project (</w:t>
      </w:r>
      <w:r>
        <w:rPr>
          <w:color w:val="070707"/>
        </w:rPr>
        <w:t>NHLP</w:t>
      </w:r>
      <w:r w:rsidR="001F1945">
        <w:rPr>
          <w:color w:val="070707"/>
        </w:rPr>
        <w:t>)</w:t>
      </w:r>
      <w:r>
        <w:rPr>
          <w:color w:val="070707"/>
        </w:rPr>
        <w:t xml:space="preserve"> to protect renters and homeowners:</w:t>
      </w:r>
    </w:p>
    <w:p w14:paraId="32FA812A" w14:textId="77777777" w:rsidR="00852B6A" w:rsidRPr="00E61771" w:rsidRDefault="00266705" w:rsidP="001C5368">
      <w:pPr>
        <w:numPr>
          <w:ilvl w:val="0"/>
          <w:numId w:val="3"/>
        </w:numPr>
        <w:rPr>
          <w:rStyle w:val="Hyperlink"/>
          <w:rFonts w:eastAsia="Times New Roman"/>
        </w:rPr>
      </w:pPr>
      <w:hyperlink r:id="rId9" w:tgtFrame="_blank" w:history="1">
        <w:r w:rsidR="00852B6A" w:rsidRPr="00E61771">
          <w:rPr>
            <w:rStyle w:val="Hyperlink"/>
            <w:rFonts w:eastAsia="Times New Roman"/>
          </w:rPr>
          <w:t xml:space="preserve">Model state law eviction moratorium to stop all five phases of the eviction process  </w:t>
        </w:r>
      </w:hyperlink>
    </w:p>
    <w:p w14:paraId="4F39ED6B" w14:textId="77777777" w:rsidR="00852B6A" w:rsidRPr="00E61771" w:rsidRDefault="00266705" w:rsidP="001C5368">
      <w:pPr>
        <w:numPr>
          <w:ilvl w:val="0"/>
          <w:numId w:val="3"/>
        </w:numPr>
      </w:pPr>
      <w:hyperlink r:id="rId10" w:tgtFrame="_blank" w:history="1">
        <w:r w:rsidR="00852B6A" w:rsidRPr="00E61771">
          <w:rPr>
            <w:rStyle w:val="Hyperlink"/>
            <w:rFonts w:eastAsia="Times New Roman"/>
          </w:rPr>
          <w:t>Coronavirus Eviction Moratoria: Considerations and Best Practices </w:t>
        </w:r>
      </w:hyperlink>
      <w:r w:rsidR="00852B6A" w:rsidRPr="00E61771">
        <w:rPr>
          <w:rFonts w:eastAsia="Times New Roman"/>
          <w:color w:val="0D86D5"/>
        </w:rPr>
        <w:t xml:space="preserve"> </w:t>
      </w:r>
    </w:p>
    <w:p w14:paraId="07A97DAF" w14:textId="1A8716BE" w:rsidR="004706FD" w:rsidRDefault="00266705" w:rsidP="001C5368">
      <w:pPr>
        <w:numPr>
          <w:ilvl w:val="0"/>
          <w:numId w:val="3"/>
        </w:numPr>
      </w:pPr>
      <w:hyperlink r:id="rId11" w:tgtFrame="_blank" w:history="1">
        <w:r w:rsidR="00852B6A" w:rsidRPr="00E61771">
          <w:rPr>
            <w:rStyle w:val="Hyperlink"/>
            <w:rFonts w:eastAsia="Times New Roman"/>
            <w:color w:val="0D86D5"/>
          </w:rPr>
          <w:t>Database of COVID-19 Eviction Moratoria by State, Commonwealth and Territory</w:t>
        </w:r>
        <w:r w:rsidR="00852B6A" w:rsidRPr="00E61771">
          <w:rPr>
            <w:rStyle w:val="Hyperlink"/>
            <w:rFonts w:eastAsia="Times New Roman"/>
            <w:color w:val="0D86D5"/>
            <w:u w:val="none"/>
          </w:rPr>
          <w:t xml:space="preserve"> </w:t>
        </w:r>
      </w:hyperlink>
      <w:r w:rsidR="00852B6A" w:rsidRPr="00920C32">
        <w:rPr>
          <w:rFonts w:eastAsia="Times New Roman"/>
          <w:i/>
          <w:iCs/>
          <w:color w:val="0D86D5"/>
        </w:rPr>
        <w:t>(c</w:t>
      </w:r>
      <w:hyperlink r:id="rId12" w:tgtFrame="_blank" w:history="1">
        <w:r w:rsidR="00852B6A" w:rsidRPr="00920C32">
          <w:rPr>
            <w:rStyle w:val="Hyperlink"/>
            <w:rFonts w:eastAsia="Times New Roman"/>
            <w:i/>
            <w:iCs/>
            <w:color w:val="0D86D5"/>
            <w:u w:val="none"/>
          </w:rPr>
          <w:t>ontinuously updated)</w:t>
        </w:r>
      </w:hyperlink>
      <w:r w:rsidR="00852B6A" w:rsidRPr="00920C32">
        <w:rPr>
          <w:rFonts w:eastAsia="Times New Roman"/>
          <w:color w:val="0D86D5"/>
        </w:rPr>
        <w:t xml:space="preserve"> </w:t>
      </w:r>
    </w:p>
    <w:sectPr w:rsidR="004706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BDE7" w14:textId="77777777" w:rsidR="00266705" w:rsidRDefault="00266705" w:rsidP="001F1945">
      <w:r>
        <w:separator/>
      </w:r>
    </w:p>
  </w:endnote>
  <w:endnote w:type="continuationSeparator" w:id="0">
    <w:p w14:paraId="1D588F6B" w14:textId="77777777" w:rsidR="00266705" w:rsidRDefault="00266705" w:rsidP="001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1CE1" w14:textId="77777777" w:rsidR="0065557E" w:rsidRDefault="00655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C7C" w14:textId="26F265AA" w:rsidR="0065557E" w:rsidRDefault="00F75614" w:rsidP="00F75614">
    <w:pPr>
      <w:pStyle w:val="Footer"/>
      <w:jc w:val="right"/>
    </w:pPr>
    <w:r>
      <w:t>3.27.20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A486" w14:textId="77777777" w:rsidR="0065557E" w:rsidRDefault="00655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46F8" w14:textId="77777777" w:rsidR="00266705" w:rsidRDefault="00266705" w:rsidP="001F1945">
      <w:r>
        <w:separator/>
      </w:r>
    </w:p>
  </w:footnote>
  <w:footnote w:type="continuationSeparator" w:id="0">
    <w:p w14:paraId="426D1EA2" w14:textId="77777777" w:rsidR="00266705" w:rsidRDefault="00266705" w:rsidP="001F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FC79" w14:textId="77777777" w:rsidR="0065557E" w:rsidRDefault="00655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523B" w14:textId="7DA6B7CC" w:rsidR="001F1945" w:rsidRPr="001F1945" w:rsidRDefault="006520D5" w:rsidP="001F1945">
    <w:pPr>
      <w:pStyle w:val="Header"/>
      <w:jc w:val="center"/>
      <w:rPr>
        <w:b/>
        <w:bCs/>
      </w:rPr>
    </w:pPr>
    <w:r>
      <w:rPr>
        <w:b/>
        <w:bCs/>
      </w:rPr>
      <w:t xml:space="preserve">Housing Update from CARES </w:t>
    </w:r>
    <w:r>
      <w:rPr>
        <w:b/>
        <w:bCs/>
      </w:rPr>
      <w:t>Act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000F" w14:textId="77777777" w:rsidR="0065557E" w:rsidRDefault="00655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C"/>
    <w:multiLevelType w:val="hybridMultilevel"/>
    <w:tmpl w:val="D74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1F"/>
    <w:multiLevelType w:val="hybridMultilevel"/>
    <w:tmpl w:val="840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C39"/>
    <w:multiLevelType w:val="hybridMultilevel"/>
    <w:tmpl w:val="5CA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6A"/>
    <w:rsid w:val="0005155D"/>
    <w:rsid w:val="001C5368"/>
    <w:rsid w:val="001F1945"/>
    <w:rsid w:val="0022143F"/>
    <w:rsid w:val="00266705"/>
    <w:rsid w:val="002973AE"/>
    <w:rsid w:val="003D2A2E"/>
    <w:rsid w:val="004706FD"/>
    <w:rsid w:val="0047271F"/>
    <w:rsid w:val="005151C2"/>
    <w:rsid w:val="005B45A2"/>
    <w:rsid w:val="006520D5"/>
    <w:rsid w:val="0065557E"/>
    <w:rsid w:val="0068111A"/>
    <w:rsid w:val="006E736D"/>
    <w:rsid w:val="007969B1"/>
    <w:rsid w:val="007C5F06"/>
    <w:rsid w:val="00831B71"/>
    <w:rsid w:val="00852B6A"/>
    <w:rsid w:val="00920C32"/>
    <w:rsid w:val="009870BC"/>
    <w:rsid w:val="009C1E20"/>
    <w:rsid w:val="00AD7D8D"/>
    <w:rsid w:val="00AE1F71"/>
    <w:rsid w:val="00BF7EF5"/>
    <w:rsid w:val="00CE38B8"/>
    <w:rsid w:val="00D930E5"/>
    <w:rsid w:val="00DD41C1"/>
    <w:rsid w:val="00E61771"/>
    <w:rsid w:val="00E9577A"/>
    <w:rsid w:val="00EA71DE"/>
    <w:rsid w:val="00F60203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A86A"/>
  <w15:chartTrackingRefBased/>
  <w15:docId w15:val="{C2822C3D-B04E-4B8B-8AA5-38F4897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6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52B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nlihc.us4.list-manage.com%2Ftrack%2Fclick%3Fu%3De702259618becdc3f0451bd5d%26id%3De8b9ffec50%26e%3Dc151d7197c&amp;data=02%7C01%7Cburgdorf%40thearc.org%7Cadd7b0d071ce485f440e08d7d122bfbb%7C1508d6ca4350484cbe3aea487e334b0e%7C0%7C0%7C637207819493119321&amp;sdata=l2vn4QptRI6I8pHOiAXRonNAVgETX2ULkXOOVsdsUSo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nlihc.us4.list-manage.com%2Ftrack%2Fclick%3Fu%3De702259618becdc3f0451bd5d%26id%3D83f589c166%26e%3Dc151d7197c&amp;data=02%7C01%7Cburgdorf%40thearc.org%7Cadd7b0d071ce485f440e08d7d122bfbb%7C1508d6ca4350484cbe3aea487e334b0e%7C0%7C0%7C637207819493109364&amp;sdata=rAqZtXlQeXkaLfBBqzWzLUjqSJd%2FdeVGz31BmW863js%3D&amp;reserved=0" TargetMode="External"/><Relationship Id="rId12" Type="http://schemas.openxmlformats.org/officeDocument/2006/relationships/hyperlink" Target="https://nam10.safelinks.protection.outlook.com/?url=http%3A%2F%2Fr20.rs6.net%2Ftn.jsp%3Ff%3D001bpQ_bPZ7I15oAKKtg3IVuvjz17DUleuoQa8tgPTcAYRFP12i0lbXXT8xA9Xxyiq9wxPLty1_Z5JZtmHJCUNG-3aiRFKAuq5x7dBjXWbj73k1HwHSKEFwPwf3c0QCw4V4kNhcP9dAtClHxFDsGKk78o5mJR7Cd_SbO4yL5EFClVui-GZiwmjU8ymb7CNspUe2Xt-0HlvVlekiG6K7HbWA8tEPQl7Wfu-Apm9SuqpNOslo8MVm6rYRK1_6hvdMVPPkIHh9ay_DaDZB3ZI3CbiK2UaQqz6k2r-cEfonEoPICqJqRtLzt1be7A%3D%3D%26c%3D6lpr2uxSAZNnHdITb4I30iox_nqKdO88_vaM1HV8kUBF5q8xwgH4Wg%3D%3D%26ch%3DEZ1iDQJv3Xu3q0tg6COQG_wmivUAtTuM1aeuN3Yg6Z3vPmE6-wEQzA%3D%3D&amp;data=02%7C01%7Cburgdorf%40thearc.org%7Cff64369980b24c153eea08d7d0f501ff%7C1508d6ca4350484cbe3aea487e334b0e%7C0%7C0%7C637207623033110121&amp;sdata=Z%2F4LjTVQdypBxijf%2BuwXwD1xmxZmZrBlzkQ4RXSSiBw%3D&amp;reserved=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H8dUIbfnt3X52TrY3dEHQCAm60e5nqo0Rn1rNCf15dPGeXxM9QN9UdxUfEjxwvfTKzbCbZxJMdR7X/pub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4rz4hhMbIRbShHWccsFtIWV2FXn6NcgW0IBh9UTdM54/ed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lp.org/wp-content/uploads/2020.03.20-Model-Eviction-Moratorium-Act_FINA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Sloane</dc:creator>
  <cp:keywords/>
  <dc:description/>
  <cp:lastModifiedBy>Mike Nagel</cp:lastModifiedBy>
  <cp:revision>2</cp:revision>
  <dcterms:created xsi:type="dcterms:W3CDTF">2020-05-01T16:28:00Z</dcterms:created>
  <dcterms:modified xsi:type="dcterms:W3CDTF">2020-05-01T16:28:00Z</dcterms:modified>
</cp:coreProperties>
</file>